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7CE49"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14:paraId="7061CBE4"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14:paraId="72D7CFF4" w14:textId="3B2A9963"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14:paraId="5C51B3A8"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14:paraId="45662326" w14:textId="623B7580"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161A8A">
        <w:rPr>
          <w:rFonts w:ascii="Times New Roman" w:hAnsi="Times New Roman" w:cs="Times New Roman"/>
          <w:b/>
          <w:lang w:val="ru-RU"/>
        </w:rPr>
        <w:t xml:space="preserve"> 2018 </w:t>
      </w:r>
      <w:r w:rsidRPr="00992EDE">
        <w:rPr>
          <w:rFonts w:ascii="Times New Roman" w:hAnsi="Times New Roman" w:cs="Times New Roman"/>
          <w:b/>
          <w:lang w:val="ru-RU"/>
        </w:rPr>
        <w:t>ГОД</w:t>
      </w:r>
    </w:p>
    <w:p w14:paraId="7A5F50F4" w14:textId="77777777" w:rsidR="00992EDE" w:rsidRPr="00992EDE" w:rsidRDefault="00992EDE" w:rsidP="00992EDE">
      <w:pPr>
        <w:jc w:val="both"/>
        <w:rPr>
          <w:rFonts w:ascii="Times New Roman" w:hAnsi="Times New Roman" w:cs="Times New Roman"/>
          <w:b/>
          <w:lang w:val="ru-RU"/>
        </w:rPr>
      </w:pPr>
    </w:p>
    <w:p w14:paraId="35B18CEA"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14:paraId="7777B29D" w14:textId="67348F4B"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14:paraId="460C276C"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14:paraId="5B5133C6"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14:paraId="553C0F17" w14:textId="77777777" w:rsidR="00992EDE" w:rsidRPr="00992EDE" w:rsidRDefault="00992EDE" w:rsidP="00992EDE">
      <w:pPr>
        <w:jc w:val="both"/>
        <w:rPr>
          <w:lang w:val="ru-RU"/>
        </w:rPr>
      </w:pPr>
    </w:p>
    <w:p w14:paraId="7C1BCF3A" w14:textId="77777777"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14:paraId="51E9D72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14:paraId="12F019B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14:paraId="201812F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14:paraId="569C8D7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14:paraId="4EEC9C45" w14:textId="77777777" w:rsidR="00992EDE" w:rsidRPr="00992EDE" w:rsidRDefault="00992EDE" w:rsidP="00992EDE">
      <w:pPr>
        <w:jc w:val="both"/>
        <w:rPr>
          <w:rFonts w:ascii="Times New Roman" w:hAnsi="Times New Roman" w:cs="Times New Roman"/>
          <w:sz w:val="24"/>
          <w:szCs w:val="24"/>
          <w:lang w:val="ru-RU"/>
        </w:rPr>
      </w:pPr>
    </w:p>
    <w:p w14:paraId="6633F52E" w14:textId="77777777" w:rsidR="00992EDE" w:rsidRPr="00992EDE" w:rsidRDefault="00992EDE" w:rsidP="00992EDE">
      <w:pPr>
        <w:jc w:val="both"/>
        <w:rPr>
          <w:rFonts w:ascii="Times New Roman" w:hAnsi="Times New Roman" w:cs="Times New Roman"/>
          <w:sz w:val="24"/>
          <w:szCs w:val="24"/>
          <w:lang w:val="ru-RU"/>
        </w:rPr>
      </w:pPr>
    </w:p>
    <w:p w14:paraId="7251D80C"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14:paraId="48DA4B9B" w14:textId="77777777" w:rsidR="00992EDE" w:rsidRPr="00992EDE" w:rsidRDefault="00992EDE" w:rsidP="00992EDE">
      <w:pPr>
        <w:jc w:val="center"/>
        <w:rPr>
          <w:rFonts w:ascii="Times New Roman" w:hAnsi="Times New Roman" w:cs="Times New Roman"/>
          <w:b/>
          <w:sz w:val="24"/>
          <w:szCs w:val="24"/>
          <w:lang w:val="ru-RU"/>
        </w:rPr>
      </w:pPr>
    </w:p>
    <w:p w14:paraId="79934DE6"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14:paraId="23207388" w14:textId="4EF16FE3"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14:paraId="19FB3F2C" w14:textId="77777777" w:rsidR="00C97BA4" w:rsidRPr="00C97BA4" w:rsidRDefault="00C97BA4" w:rsidP="00C97BA4">
      <w:pPr>
        <w:jc w:val="center"/>
        <w:rPr>
          <w:rFonts w:ascii="Times New Roman" w:hAnsi="Times New Roman" w:cs="Times New Roman"/>
          <w:b/>
          <w:sz w:val="24"/>
          <w:szCs w:val="24"/>
          <w:lang w:val="ru-RU"/>
        </w:rPr>
      </w:pPr>
      <w:r w:rsidRPr="00C97BA4">
        <w:rPr>
          <w:rFonts w:ascii="Times New Roman" w:hAnsi="Times New Roman" w:cs="Times New Roman"/>
          <w:b/>
          <w:sz w:val="24"/>
          <w:szCs w:val="24"/>
          <w:lang w:val="ru-RU"/>
        </w:rPr>
        <w:t>1.1. Разъяснение новых требований нормативно-правовых актов</w:t>
      </w:r>
    </w:p>
    <w:p w14:paraId="56B3313B"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14:paraId="337491C1"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w:t>
      </w:r>
      <w:r w:rsidRPr="00C97BA4">
        <w:rPr>
          <w:rFonts w:ascii="Times New Roman" w:hAnsi="Times New Roman" w:cs="Times New Roman"/>
          <w:sz w:val="24"/>
          <w:szCs w:val="24"/>
          <w:lang w:val="ru-RU"/>
        </w:rPr>
        <w:lastRenderedPageBreak/>
        <w:t>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14:paraId="1A08737B"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14:paraId="5142EB68"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14:paraId="0F4DD7B1"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14:paraId="38584BC9"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14:paraId="2E60377C" w14:textId="77777777"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14:paraId="1F5E2CBC" w14:textId="77777777" w:rsidR="00C97BA4" w:rsidRPr="00992EDE" w:rsidRDefault="00C97BA4" w:rsidP="00992EDE">
      <w:pPr>
        <w:jc w:val="both"/>
        <w:rPr>
          <w:rFonts w:ascii="Times New Roman" w:hAnsi="Times New Roman" w:cs="Times New Roman"/>
          <w:sz w:val="24"/>
          <w:szCs w:val="24"/>
          <w:lang w:val="ru-RU"/>
        </w:rPr>
      </w:pPr>
    </w:p>
    <w:p w14:paraId="62664970"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 xml:space="preserve">Новые изменения в Трудовом кодексе РФ и </w:t>
      </w:r>
      <w:proofErr w:type="gramStart"/>
      <w:r w:rsidRPr="00992EDE">
        <w:rPr>
          <w:rFonts w:ascii="Times New Roman" w:hAnsi="Times New Roman" w:cs="Times New Roman"/>
          <w:b/>
          <w:sz w:val="24"/>
          <w:szCs w:val="24"/>
          <w:lang w:val="ru-RU"/>
        </w:rPr>
        <w:t>иных нормативно-правовых актах</w:t>
      </w:r>
      <w:proofErr w:type="gramEnd"/>
      <w:r w:rsidRPr="00992EDE">
        <w:rPr>
          <w:rFonts w:ascii="Times New Roman" w:hAnsi="Times New Roman" w:cs="Times New Roman"/>
          <w:b/>
          <w:sz w:val="24"/>
          <w:szCs w:val="24"/>
          <w:lang w:val="ru-RU"/>
        </w:rPr>
        <w:t xml:space="preserve"> регулирующих трудовое законодательство РФ</w:t>
      </w:r>
    </w:p>
    <w:p w14:paraId="091C4667" w14:textId="77777777" w:rsidR="00992EDE" w:rsidRPr="00992EDE" w:rsidRDefault="00992EDE" w:rsidP="00992EDE">
      <w:pPr>
        <w:jc w:val="both"/>
        <w:rPr>
          <w:rFonts w:ascii="Times New Roman" w:hAnsi="Times New Roman" w:cs="Times New Roman"/>
          <w:sz w:val="24"/>
          <w:szCs w:val="24"/>
          <w:lang w:val="ru-RU"/>
        </w:rPr>
      </w:pPr>
    </w:p>
    <w:p w14:paraId="1CC5826F" w14:textId="1A61C328" w:rsidR="00992EDE" w:rsidRDefault="00C97BA4" w:rsidP="00C97BA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2018 году б</w:t>
      </w:r>
      <w:r w:rsidR="00992EDE"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00992EDE"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00992EDE" w:rsidRPr="00992EDE">
        <w:rPr>
          <w:rFonts w:ascii="Times New Roman" w:hAnsi="Times New Roman" w:cs="Times New Roman"/>
          <w:sz w:val="24"/>
          <w:szCs w:val="24"/>
          <w:lang w:val="ru-RU"/>
        </w:rPr>
        <w:t xml:space="preserve"> ряд поправок в Трудовое законодательство РФ</w:t>
      </w:r>
      <w:r>
        <w:rPr>
          <w:rFonts w:ascii="Times New Roman" w:hAnsi="Times New Roman" w:cs="Times New Roman"/>
          <w:sz w:val="24"/>
          <w:szCs w:val="24"/>
          <w:lang w:val="ru-RU"/>
        </w:rPr>
        <w:t>.</w:t>
      </w:r>
      <w:r w:rsidR="00992EDE" w:rsidRPr="00992EDE">
        <w:rPr>
          <w:rFonts w:ascii="Times New Roman" w:hAnsi="Times New Roman" w:cs="Times New Roman"/>
          <w:sz w:val="24"/>
          <w:szCs w:val="24"/>
          <w:lang w:val="ru-RU"/>
        </w:rPr>
        <w:t xml:space="preserve"> </w:t>
      </w:r>
    </w:p>
    <w:p w14:paraId="0C4639ED" w14:textId="256F1D81"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Федеральным законом от 27.12.2018 N 553-ФЗ "О внесении изменения в статью 3 Федерального закона "О специальной оценке условий труда".</w:t>
      </w:r>
    </w:p>
    <w:p w14:paraId="7D28E6CD" w14:textId="77777777" w:rsidR="00C97BA4" w:rsidRPr="00C97BA4" w:rsidRDefault="00C97BA4" w:rsidP="00C97BA4">
      <w:pPr>
        <w:spacing w:after="0" w:line="240" w:lineRule="auto"/>
        <w:ind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отношении работников, вступивших в трудовые отношения с работодателями - религиозными организациями, специальная оценка условий труда проводиться не будет.</w:t>
      </w:r>
    </w:p>
    <w:p w14:paraId="252B3F09" w14:textId="59963544" w:rsidR="00C97BA4" w:rsidRDefault="00C97BA4" w:rsidP="00C97BA4">
      <w:pPr>
        <w:spacing w:after="0" w:line="240" w:lineRule="auto"/>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Установлено, что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а также с работодателями - религиозными организациями, зарегистрированными в соответствии с федеральным законом.</w:t>
      </w:r>
    </w:p>
    <w:p w14:paraId="03B9DB27" w14:textId="77777777"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МРОТ будет устанавливаться федеральным законом в размере величины прожиточного минимума трудоспособного населения в целом по РФ за второй квартал предыдущего года.</w:t>
      </w:r>
    </w:p>
    <w:p w14:paraId="0C192A75" w14:textId="77777777"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случае, если величина прожиточного минимума трудоспособного населения в целом по РФ за второй квартал предыдущего года ниже величины прожиточного минимума трудоспособного населения в целом по РФ за второй квартал года, предшествующего предыдущему году, МРОТ устанавливается федеральным законом в размере, установленном с 1 января предыдущего года.</w:t>
      </w:r>
    </w:p>
    <w:p w14:paraId="3C7E8253" w14:textId="77777777"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Приказом Минтруда России от 24.08.2018 N 550н прожиточный минимум трудоспособного населения в целом по РФ за II квартал 2018 года установлен в размере 11280 рублей в месяц. Учитывая изложенное, с 1 января 2019 года МРОТ составляет 11280 рублей в месяц.</w:t>
      </w:r>
    </w:p>
    <w:p w14:paraId="5C5A905A" w14:textId="77777777"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(Федеральные законы от 19.06.2000 "N 82-ФЗ" и от 25.12.2018 N 481-ФЗ; Письмо Минтруда России от 09.08.2018 N 14-1/10/В-6061).</w:t>
      </w:r>
    </w:p>
    <w:p w14:paraId="303CF544" w14:textId="77777777"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 xml:space="preserve">Минимальный размер оплаты труда (МРОТ)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 Это следует из ч. 2 ст. 7 Конституции РФ, </w:t>
      </w:r>
      <w:proofErr w:type="spellStart"/>
      <w:r w:rsidRPr="00C97BA4">
        <w:rPr>
          <w:rFonts w:ascii="Times New Roman" w:hAnsi="Times New Roman" w:cs="Times New Roman"/>
          <w:sz w:val="24"/>
          <w:szCs w:val="24"/>
          <w:lang w:val="ru-RU"/>
        </w:rPr>
        <w:t>абз</w:t>
      </w:r>
      <w:proofErr w:type="spellEnd"/>
      <w:r w:rsidRPr="00C97BA4">
        <w:rPr>
          <w:rFonts w:ascii="Times New Roman" w:hAnsi="Times New Roman" w:cs="Times New Roman"/>
          <w:sz w:val="24"/>
          <w:szCs w:val="24"/>
          <w:lang w:val="ru-RU"/>
        </w:rPr>
        <w:t>. 2 ст. 130, ч. 1 ст. 133 ТК РФ.</w:t>
      </w:r>
    </w:p>
    <w:p w14:paraId="223F00C3" w14:textId="3DBD8E21" w:rsidR="00723896" w:rsidRDefault="00723896" w:rsidP="00723896">
      <w:pPr>
        <w:pStyle w:val="a5"/>
        <w:spacing w:after="0" w:line="240" w:lineRule="auto"/>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723896">
        <w:rPr>
          <w:rFonts w:ascii="Times New Roman" w:hAnsi="Times New Roman" w:cs="Times New Roman"/>
          <w:sz w:val="24"/>
          <w:szCs w:val="24"/>
          <w:lang w:val="ru-RU"/>
        </w:rPr>
        <w:t xml:space="preserve"> 1 января 2019 года минимальный размер оплаты труда Федеральным законом от 25.12.2018 N 481-ФЗ установлен в сумме 11 280 рублей в месяц.</w:t>
      </w:r>
    </w:p>
    <w:p w14:paraId="6F761029" w14:textId="6C0D21F2" w:rsidR="00723896" w:rsidRP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03.10.2018 N 353-ФЗ, с 01.01.2019 введена в действие статья 185.1 Трудового кодекса РФ о гарантиях работникам при прохождении диспансеризации.</w:t>
      </w:r>
    </w:p>
    <w:p w14:paraId="1F56DDDF" w14:textId="77777777"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Соглансо указанной норме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14:paraId="628A79EB" w14:textId="77777777"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14:paraId="28F8B2B4" w14:textId="77777777" w:rsidR="00D6593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Работник освобождается от работы для прохождения диспансеризации на основании его личного заявления. При этом необходимо учесть, что день (дни) освобождения от работы согласовывается (согласовываются) с работодателем. </w:t>
      </w:r>
    </w:p>
    <w:p w14:paraId="26404045" w14:textId="77777777" w:rsidR="00D65936" w:rsidRPr="00D65936" w:rsidRDefault="00723896" w:rsidP="00D65936">
      <w:pPr>
        <w:spacing w:after="0" w:line="240" w:lineRule="auto"/>
        <w:ind w:firstLine="72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 </w:t>
      </w:r>
      <w:r w:rsidR="00D65936" w:rsidRPr="00D65936">
        <w:rPr>
          <w:rFonts w:ascii="Times New Roman" w:hAnsi="Times New Roman" w:cs="Times New Roman"/>
          <w:sz w:val="24"/>
          <w:szCs w:val="24"/>
          <w:lang w:val="ru-RU"/>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p>
    <w:p w14:paraId="09EE5795" w14:textId="77777777" w:rsidR="00D65936" w:rsidRPr="00D65936" w:rsidRDefault="00D65936" w:rsidP="00D65936">
      <w:pPr>
        <w:spacing w:after="0" w:line="240" w:lineRule="auto"/>
        <w:jc w:val="both"/>
        <w:rPr>
          <w:rFonts w:ascii="Times New Roman" w:hAnsi="Times New Roman" w:cs="Times New Roman"/>
          <w:sz w:val="24"/>
          <w:szCs w:val="24"/>
          <w:lang w:val="ru-RU"/>
        </w:rPr>
      </w:pPr>
    </w:p>
    <w:p w14:paraId="17A2B1AB" w14:textId="63571C99" w:rsidR="00D65936" w:rsidRPr="00D65936" w:rsidRDefault="00D65936" w:rsidP="00D6593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УК РФ </w:t>
      </w:r>
      <w:r w:rsidRPr="00D65936">
        <w:rPr>
          <w:rFonts w:ascii="Times New Roman" w:hAnsi="Times New Roman" w:cs="Times New Roman"/>
          <w:sz w:val="24"/>
          <w:szCs w:val="24"/>
          <w:lang w:val="ru-RU"/>
        </w:rPr>
        <w:t>дополнен статьей 144.1 следующего содержания:</w:t>
      </w:r>
    </w:p>
    <w:p w14:paraId="5786ABFC" w14:textId="77777777" w:rsidR="00D65936" w:rsidRPr="00D65936" w:rsidRDefault="00D65936" w:rsidP="00D65936">
      <w:pPr>
        <w:spacing w:after="0" w:line="240" w:lineRule="auto"/>
        <w:jc w:val="both"/>
        <w:rPr>
          <w:rFonts w:ascii="Times New Roman" w:hAnsi="Times New Roman" w:cs="Times New Roman"/>
          <w:sz w:val="24"/>
          <w:szCs w:val="24"/>
          <w:lang w:val="ru-RU"/>
        </w:rPr>
      </w:pPr>
    </w:p>
    <w:p w14:paraId="6480CB98" w14:textId="77777777"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"Статья 144.1. Необоснованный отказ в приеме на работу или необоснованное увольнение лица, достигшего предпенсионного возраста</w:t>
      </w:r>
    </w:p>
    <w:p w14:paraId="3C0F7962" w14:textId="77777777" w:rsidR="00D65936" w:rsidRPr="00D65936" w:rsidRDefault="00D65936" w:rsidP="00D65936">
      <w:pPr>
        <w:spacing w:after="0" w:line="240" w:lineRule="auto"/>
        <w:jc w:val="both"/>
        <w:rPr>
          <w:rFonts w:ascii="Times New Roman" w:hAnsi="Times New Roman" w:cs="Times New Roman"/>
          <w:sz w:val="24"/>
          <w:szCs w:val="24"/>
          <w:lang w:val="ru-RU"/>
        </w:rPr>
      </w:pPr>
    </w:p>
    <w:p w14:paraId="38B08569" w14:textId="77777777"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lastRenderedPageBreak/>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14:paraId="66FADAB1" w14:textId="77777777"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14:paraId="40A4B86E" w14:textId="77777777"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14:paraId="75741844" w14:textId="1FF114B1" w:rsidR="0072389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Действует с 14.10.2018 года.</w:t>
      </w:r>
    </w:p>
    <w:p w14:paraId="7EB38E7B" w14:textId="77777777" w:rsidR="00D65936" w:rsidRDefault="00D65936" w:rsidP="00D65936">
      <w:pPr>
        <w:spacing w:after="0" w:line="240" w:lineRule="auto"/>
        <w:jc w:val="both"/>
        <w:rPr>
          <w:rFonts w:ascii="Times New Roman" w:hAnsi="Times New Roman" w:cs="Times New Roman"/>
          <w:sz w:val="24"/>
          <w:szCs w:val="24"/>
          <w:lang w:val="ru-RU"/>
        </w:rPr>
      </w:pPr>
    </w:p>
    <w:p w14:paraId="4D2C7131" w14:textId="6CA00550" w:rsid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27.12.2018 N 542-ФЗ "О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w:t>
      </w:r>
      <w:r w:rsidR="00240F35">
        <w:rPr>
          <w:rFonts w:ascii="Times New Roman" w:hAnsi="Times New Roman" w:cs="Times New Roman"/>
          <w:sz w:val="24"/>
          <w:szCs w:val="24"/>
          <w:lang w:val="ru-RU"/>
        </w:rPr>
        <w:t xml:space="preserve">, введена статья </w:t>
      </w:r>
      <w:r w:rsidR="00240F35" w:rsidRPr="00240F35">
        <w:rPr>
          <w:rFonts w:ascii="Times New Roman" w:hAnsi="Times New Roman" w:cs="Times New Roman"/>
          <w:sz w:val="24"/>
          <w:szCs w:val="24"/>
          <w:lang w:val="ru-RU"/>
        </w:rPr>
        <w:t xml:space="preserve">345.1. </w:t>
      </w:r>
      <w:r w:rsidR="00240F35">
        <w:rPr>
          <w:rFonts w:ascii="Times New Roman" w:hAnsi="Times New Roman" w:cs="Times New Roman"/>
          <w:sz w:val="24"/>
          <w:szCs w:val="24"/>
          <w:lang w:val="ru-RU"/>
        </w:rPr>
        <w:t>«</w:t>
      </w:r>
      <w:r w:rsidR="00240F35" w:rsidRPr="00240F35">
        <w:rPr>
          <w:rFonts w:ascii="Times New Roman" w:hAnsi="Times New Roman" w:cs="Times New Roman"/>
          <w:sz w:val="24"/>
          <w:szCs w:val="24"/>
          <w:lang w:val="ru-RU"/>
        </w:rPr>
        <w:t>Особенности распространения регионального соглашения о минимальной заработной плате на работодателя - религиозную организацию</w:t>
      </w:r>
      <w:r w:rsidR="00240F35">
        <w:rPr>
          <w:rFonts w:ascii="Times New Roman" w:hAnsi="Times New Roman" w:cs="Times New Roman"/>
          <w:sz w:val="24"/>
          <w:szCs w:val="24"/>
          <w:lang w:val="ru-RU"/>
        </w:rPr>
        <w:t>».</w:t>
      </w:r>
    </w:p>
    <w:p w14:paraId="37F0AC34" w14:textId="77777777" w:rsidR="00240F35" w:rsidRPr="00240F35" w:rsidRDefault="00240F35" w:rsidP="00240F35">
      <w:pPr>
        <w:pStyle w:val="a5"/>
        <w:ind w:left="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Для религиозных организаций уточнена процедура отказа от присоединения к региональному соглашению о минимальной заработной плате.</w:t>
      </w:r>
    </w:p>
    <w:p w14:paraId="270B27A0" w14:textId="77777777"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Установлено, что при представлении в уполномоченный орган исполнительной власти субъекта РФ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14:paraId="71FBEBB4" w14:textId="77777777"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От имени работодателей - религиозных организаций, осуществляющих деятельность на территории соответствующего субъекта РФ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14:paraId="51F8BC35" w14:textId="2A463A90" w:rsid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РФ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14:paraId="73DDA71A" w14:textId="3DE3F715" w:rsidR="00240F35" w:rsidRPr="00240F35" w:rsidRDefault="00240F35" w:rsidP="00240F35">
      <w:pPr>
        <w:pStyle w:val="a5"/>
        <w:numPr>
          <w:ilvl w:val="0"/>
          <w:numId w:val="1"/>
        </w:numPr>
        <w:spacing w:after="1" w:line="240" w:lineRule="atLeast"/>
        <w:ind w:left="0" w:firstLine="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Постановлением Правительства РФ от 15.11.2018 N 1375 "О размерах минимальной и максимальной величины пособия по безработице на 2</w:t>
      </w:r>
      <w:r>
        <w:rPr>
          <w:rFonts w:ascii="Times New Roman" w:hAnsi="Times New Roman" w:cs="Times New Roman"/>
          <w:sz w:val="24"/>
          <w:szCs w:val="24"/>
          <w:lang w:val="ru-RU"/>
        </w:rPr>
        <w:t>0</w:t>
      </w:r>
      <w:r w:rsidRPr="00240F35">
        <w:rPr>
          <w:rFonts w:ascii="Times New Roman" w:hAnsi="Times New Roman" w:cs="Times New Roman"/>
          <w:sz w:val="24"/>
          <w:szCs w:val="24"/>
          <w:lang w:val="ru-RU"/>
        </w:rPr>
        <w:t>19 год»</w:t>
      </w:r>
      <w:r>
        <w:rPr>
          <w:rFonts w:ascii="Times New Roman" w:hAnsi="Times New Roman" w:cs="Times New Roman"/>
          <w:sz w:val="24"/>
          <w:szCs w:val="24"/>
          <w:lang w:val="ru-RU"/>
        </w:rPr>
        <w:t xml:space="preserve"> установлена- </w:t>
      </w:r>
      <w:r w:rsidRPr="00240F35">
        <w:rPr>
          <w:rFonts w:ascii="Times New Roman" w:hAnsi="Times New Roman" w:cs="Times New Roman"/>
          <w:sz w:val="24"/>
          <w:szCs w:val="24"/>
          <w:lang w:val="ru-RU"/>
        </w:rPr>
        <w:t xml:space="preserve">  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w:t>
      </w:r>
      <w:hyperlink r:id="rId5" w:history="1">
        <w:r w:rsidRPr="00240F35">
          <w:rPr>
            <w:rFonts w:ascii="Times New Roman" w:hAnsi="Times New Roman" w:cs="Times New Roman"/>
            <w:sz w:val="24"/>
            <w:szCs w:val="24"/>
            <w:lang w:val="ru-RU"/>
          </w:rPr>
          <w:t>пособия</w:t>
        </w:r>
      </w:hyperlink>
      <w:r w:rsidRPr="00240F35">
        <w:rPr>
          <w:rFonts w:ascii="Times New Roman" w:hAnsi="Times New Roman" w:cs="Times New Roman"/>
          <w:sz w:val="24"/>
          <w:szCs w:val="24"/>
          <w:lang w:val="ru-RU"/>
        </w:rPr>
        <w:t xml:space="preserve"> по безработице в размере 1500 рублей, максимальн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8000 рублей - для граждан, признанных в установленном порядке безработными, за исключением граждан предпенсионного возраста, указанных в </w:t>
      </w:r>
      <w:hyperlink r:id="rId6"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7"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14:paraId="19608DA7" w14:textId="0DF05D74" w:rsidR="00240F35" w:rsidRDefault="00240F35" w:rsidP="00240F35">
      <w:pPr>
        <w:spacing w:before="240" w:after="1" w:line="240" w:lineRule="atLeast"/>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1500 рублей, максимал</w:t>
      </w:r>
      <w:r>
        <w:rPr>
          <w:rFonts w:ascii="Times New Roman" w:hAnsi="Times New Roman" w:cs="Times New Roman"/>
          <w:sz w:val="24"/>
          <w:szCs w:val="24"/>
          <w:lang w:val="ru-RU"/>
        </w:rPr>
        <w:t>ьная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11280 рублей - для признанных в установленном порядке безработными граждан предпенсионного возраста, указанных в </w:t>
      </w:r>
      <w:hyperlink r:id="rId8"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9"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14:paraId="593DEE6D" w14:textId="1CF7DAEF" w:rsidR="00240F35" w:rsidRPr="006E49B9" w:rsidRDefault="006E49B9" w:rsidP="006E49B9">
      <w:pPr>
        <w:pStyle w:val="a5"/>
        <w:numPr>
          <w:ilvl w:val="0"/>
          <w:numId w:val="1"/>
        </w:numPr>
        <w:spacing w:before="240" w:after="1" w:line="240" w:lineRule="atLeast"/>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В соответствии с Распоряжением Правительства РФ от 6 декабря 2017 года N2716-р с 1 января 2018 года на 4% повысилась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14:paraId="7C08EEAC" w14:textId="77777777" w:rsidR="00240F35" w:rsidRPr="00240F35" w:rsidRDefault="00240F35" w:rsidP="006E49B9">
      <w:pPr>
        <w:pStyle w:val="a5"/>
        <w:ind w:left="0"/>
        <w:jc w:val="both"/>
        <w:rPr>
          <w:rFonts w:ascii="Times New Roman" w:hAnsi="Times New Roman" w:cs="Times New Roman"/>
          <w:sz w:val="24"/>
          <w:szCs w:val="24"/>
          <w:lang w:val="ru-RU"/>
        </w:rPr>
      </w:pPr>
    </w:p>
    <w:p w14:paraId="445C504A" w14:textId="69DCA396"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 1 января 2018 года вступ</w:t>
      </w:r>
      <w:r w:rsidR="00477085">
        <w:rPr>
          <w:rFonts w:ascii="Times New Roman" w:hAnsi="Times New Roman" w:cs="Times New Roman"/>
          <w:sz w:val="24"/>
          <w:szCs w:val="24"/>
          <w:lang w:val="ru-RU"/>
        </w:rPr>
        <w:t>ило</w:t>
      </w:r>
      <w:r w:rsidRPr="006E49B9">
        <w:rPr>
          <w:rFonts w:ascii="Times New Roman" w:hAnsi="Times New Roman" w:cs="Times New Roman"/>
          <w:sz w:val="24"/>
          <w:szCs w:val="24"/>
          <w:lang w:val="ru-RU"/>
        </w:rPr>
        <w:t xml:space="preserve"> в силу Постановление Правительства РФ "О внесении изменений в некоторые акты Правительства Российской Федерации" от 10 ноября 2017 года N1349. Федеральным законом от 3 июля 2016 года N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N 2627-р и от 12 декабря 2015 года N2555-р.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14:paraId="2480EE7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Постановлением N1349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N2627-р и N2555-р,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14:paraId="01482A7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Таким образом,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N2627-р и N2555-р.</w:t>
      </w:r>
    </w:p>
    <w:p w14:paraId="4890C5CE" w14:textId="77777777" w:rsidR="006E49B9" w:rsidRPr="006E49B9" w:rsidRDefault="006E49B9" w:rsidP="006E49B9">
      <w:pPr>
        <w:pStyle w:val="a5"/>
        <w:ind w:left="0"/>
        <w:jc w:val="both"/>
        <w:rPr>
          <w:rFonts w:ascii="Times New Roman" w:hAnsi="Times New Roman" w:cs="Times New Roman"/>
          <w:sz w:val="24"/>
          <w:szCs w:val="24"/>
          <w:lang w:val="ru-RU"/>
        </w:rPr>
      </w:pPr>
    </w:p>
    <w:p w14:paraId="750155BD" w14:textId="5E5F21C4"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31.12.2017 N502-ФЗ внесены изменения в статью 360 Трудового кодекса РФ, расширяющие перечень оснований для проведения внеплановых проверок работодателей.</w:t>
      </w:r>
    </w:p>
    <w:p w14:paraId="4F431A29" w14:textId="77777777"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Законом N502-ФЗ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14:paraId="5C4F835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уклонения от оформления трудового договора;</w:t>
      </w:r>
    </w:p>
    <w:p w14:paraId="716D8DE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ненадлежащего оформления трудового договора;</w:t>
      </w:r>
    </w:p>
    <w:p w14:paraId="12E9715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14:paraId="20AF01A3" w14:textId="4820AE15"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Изменения вступ</w:t>
      </w:r>
      <w:r>
        <w:rPr>
          <w:rFonts w:ascii="Times New Roman" w:hAnsi="Times New Roman" w:cs="Times New Roman"/>
          <w:sz w:val="24"/>
          <w:szCs w:val="24"/>
          <w:lang w:val="ru-RU"/>
        </w:rPr>
        <w:t>или</w:t>
      </w:r>
      <w:r w:rsidRPr="006E49B9">
        <w:rPr>
          <w:rFonts w:ascii="Times New Roman" w:hAnsi="Times New Roman" w:cs="Times New Roman"/>
          <w:sz w:val="24"/>
          <w:szCs w:val="24"/>
          <w:lang w:val="ru-RU"/>
        </w:rPr>
        <w:t xml:space="preserve"> в силу 11 января 2018 года.</w:t>
      </w:r>
    </w:p>
    <w:p w14:paraId="74DE7F90" w14:textId="5D0189F0"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w:t>
      </w:r>
      <w:r w:rsidRPr="006E49B9">
        <w:rPr>
          <w:rFonts w:ascii="Times New Roman" w:hAnsi="Times New Roman" w:cs="Times New Roman"/>
          <w:sz w:val="24"/>
          <w:szCs w:val="24"/>
          <w:lang w:val="ru-RU"/>
        </w:rPr>
        <w:t>ешением Российской трехсторонней комиссии по регулированию социально-трудовых отношений от 22.12.2017, протокол N 11 утверждены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p>
    <w:p w14:paraId="16D09DBE" w14:textId="77777777"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14:paraId="5C404130" w14:textId="77777777"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14:paraId="2811AD0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14:paraId="49269551" w14:textId="77777777" w:rsidR="006E49B9" w:rsidRPr="006E49B9" w:rsidRDefault="006E49B9" w:rsidP="006E49B9">
      <w:pPr>
        <w:pStyle w:val="a5"/>
        <w:ind w:left="0"/>
        <w:jc w:val="both"/>
        <w:rPr>
          <w:rFonts w:ascii="Times New Roman" w:hAnsi="Times New Roman" w:cs="Times New Roman"/>
          <w:sz w:val="24"/>
          <w:szCs w:val="24"/>
          <w:lang w:val="ru-RU"/>
        </w:rPr>
      </w:pPr>
    </w:p>
    <w:p w14:paraId="683B26B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содержат:</w:t>
      </w:r>
    </w:p>
    <w:p w14:paraId="4049B9C3" w14:textId="77777777" w:rsidR="006E49B9" w:rsidRPr="006E49B9" w:rsidRDefault="006E49B9" w:rsidP="006E49B9">
      <w:pPr>
        <w:pStyle w:val="a5"/>
        <w:ind w:left="0"/>
        <w:jc w:val="both"/>
        <w:rPr>
          <w:rFonts w:ascii="Times New Roman" w:hAnsi="Times New Roman" w:cs="Times New Roman"/>
          <w:sz w:val="24"/>
          <w:szCs w:val="24"/>
          <w:lang w:val="ru-RU"/>
        </w:rPr>
      </w:pPr>
    </w:p>
    <w:p w14:paraId="676841E8" w14:textId="77777777"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принципы формирования федеральной, региональных и муниципальных систем оплаты труда;</w:t>
      </w:r>
    </w:p>
    <w:p w14:paraId="394470E9" w14:textId="77777777"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14:paraId="1FAD0E58" w14:textId="77777777"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14:paraId="5F679C58" w14:textId="77777777"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14:paraId="1CA78A6C" w14:textId="77777777"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14:paraId="62762407" w14:textId="77777777" w:rsidR="006E49B9" w:rsidRPr="006E49B9" w:rsidRDefault="006E49B9" w:rsidP="006E49B9">
      <w:pPr>
        <w:pStyle w:val="a5"/>
        <w:ind w:left="0"/>
        <w:jc w:val="both"/>
        <w:rPr>
          <w:rFonts w:ascii="Times New Roman" w:hAnsi="Times New Roman" w:cs="Times New Roman"/>
          <w:sz w:val="24"/>
          <w:szCs w:val="24"/>
          <w:lang w:val="ru-RU"/>
        </w:rPr>
      </w:pPr>
    </w:p>
    <w:p w14:paraId="695115BB" w14:textId="304A7596"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Федеральным законом от 29.12.2017 N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w:t>
      </w:r>
      <w:r w:rsidRPr="006E49B9">
        <w:rPr>
          <w:rFonts w:ascii="Times New Roman" w:hAnsi="Times New Roman" w:cs="Times New Roman"/>
          <w:sz w:val="24"/>
          <w:szCs w:val="24"/>
          <w:lang w:val="ru-RU"/>
        </w:rPr>
        <w:lastRenderedPageBreak/>
        <w:t>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14:paraId="66BB8411" w14:textId="77777777"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20.12.2017 N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14:paraId="42C677E9" w14:textId="77777777"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Данным Федеральным законом в частности:</w:t>
      </w:r>
    </w:p>
    <w:p w14:paraId="52F3098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14:paraId="50C1386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14:paraId="1F9D1E9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14:paraId="69AB1431" w14:textId="60108599"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Приказом Минтруда России от 30.06.2017 N 543н </w:t>
      </w:r>
      <w:proofErr w:type="gramStart"/>
      <w:r w:rsidRPr="006E49B9">
        <w:rPr>
          <w:rFonts w:ascii="Times New Roman" w:hAnsi="Times New Roman" w:cs="Times New Roman"/>
          <w:sz w:val="24"/>
          <w:szCs w:val="24"/>
          <w:lang w:val="ru-RU"/>
        </w:rPr>
        <w:t>утверждены  особенностей</w:t>
      </w:r>
      <w:proofErr w:type="gramEnd"/>
      <w:r w:rsidRPr="006E49B9">
        <w:rPr>
          <w:rFonts w:ascii="Times New Roman" w:hAnsi="Times New Roman" w:cs="Times New Roman"/>
          <w:sz w:val="24"/>
          <w:szCs w:val="24"/>
          <w:lang w:val="ru-RU"/>
        </w:rPr>
        <w:t xml:space="preserve"> проведения специальной оценки условий труда на рабочих местах водителей городского наземного пассажирского транспорта общего пользования (Зарегистрировано в Минюсте России 13.12.2017 N 49229, начало действия документа - 25.12.2017.</w:t>
      </w:r>
    </w:p>
    <w:p w14:paraId="6332826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14:paraId="23C09044" w14:textId="77777777" w:rsidR="006E49B9" w:rsidRPr="006E49B9" w:rsidRDefault="006E49B9" w:rsidP="006E49B9">
      <w:pPr>
        <w:pStyle w:val="a5"/>
        <w:ind w:left="0"/>
        <w:jc w:val="both"/>
        <w:rPr>
          <w:rFonts w:ascii="Times New Roman" w:hAnsi="Times New Roman" w:cs="Times New Roman"/>
          <w:sz w:val="24"/>
          <w:szCs w:val="24"/>
          <w:lang w:val="ru-RU"/>
        </w:rPr>
      </w:pPr>
    </w:p>
    <w:p w14:paraId="2D6B500E"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шум;</w:t>
      </w:r>
    </w:p>
    <w:p w14:paraId="08EAEA47" w14:textId="77777777" w:rsidR="006E49B9" w:rsidRPr="006E49B9" w:rsidRDefault="006E49B9" w:rsidP="006E49B9">
      <w:pPr>
        <w:pStyle w:val="a5"/>
        <w:ind w:left="0"/>
        <w:jc w:val="both"/>
        <w:rPr>
          <w:rFonts w:ascii="Times New Roman" w:hAnsi="Times New Roman" w:cs="Times New Roman"/>
          <w:sz w:val="24"/>
          <w:szCs w:val="24"/>
          <w:lang w:val="ru-RU"/>
        </w:rPr>
      </w:pPr>
    </w:p>
    <w:p w14:paraId="372A5A52"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электростатическое поле (для троллейбусов, трамваев);</w:t>
      </w:r>
    </w:p>
    <w:p w14:paraId="6ED7BBED" w14:textId="77777777" w:rsidR="006E49B9" w:rsidRPr="006E49B9" w:rsidRDefault="006E49B9" w:rsidP="006E49B9">
      <w:pPr>
        <w:pStyle w:val="a5"/>
        <w:ind w:left="0"/>
        <w:jc w:val="both"/>
        <w:rPr>
          <w:rFonts w:ascii="Times New Roman" w:hAnsi="Times New Roman" w:cs="Times New Roman"/>
          <w:sz w:val="24"/>
          <w:szCs w:val="24"/>
          <w:lang w:val="ru-RU"/>
        </w:rPr>
      </w:pPr>
    </w:p>
    <w:p w14:paraId="65515F84" w14:textId="77777777" w:rsidR="006E49B9" w:rsidRPr="006E49B9" w:rsidRDefault="006E49B9" w:rsidP="006E49B9">
      <w:pPr>
        <w:pStyle w:val="a5"/>
        <w:ind w:left="0"/>
        <w:jc w:val="both"/>
        <w:rPr>
          <w:rFonts w:ascii="Times New Roman" w:hAnsi="Times New Roman" w:cs="Times New Roman"/>
          <w:sz w:val="24"/>
          <w:szCs w:val="24"/>
          <w:lang w:val="ru-RU"/>
        </w:rPr>
      </w:pPr>
      <w:proofErr w:type="spellStart"/>
      <w:r w:rsidRPr="006E49B9">
        <w:rPr>
          <w:rFonts w:ascii="Times New Roman" w:hAnsi="Times New Roman" w:cs="Times New Roman"/>
          <w:sz w:val="24"/>
          <w:szCs w:val="24"/>
          <w:lang w:val="ru-RU"/>
        </w:rPr>
        <w:t>виброакустические</w:t>
      </w:r>
      <w:proofErr w:type="spellEnd"/>
      <w:r w:rsidRPr="006E49B9">
        <w:rPr>
          <w:rFonts w:ascii="Times New Roman" w:hAnsi="Times New Roman" w:cs="Times New Roman"/>
          <w:sz w:val="24"/>
          <w:szCs w:val="24"/>
          <w:lang w:val="ru-RU"/>
        </w:rPr>
        <w:t xml:space="preserve"> факторы;</w:t>
      </w:r>
    </w:p>
    <w:p w14:paraId="7DCA44DC" w14:textId="77777777" w:rsidR="006E49B9" w:rsidRPr="006E49B9" w:rsidRDefault="006E49B9" w:rsidP="006E49B9">
      <w:pPr>
        <w:pStyle w:val="a5"/>
        <w:ind w:left="0"/>
        <w:jc w:val="both"/>
        <w:rPr>
          <w:rFonts w:ascii="Times New Roman" w:hAnsi="Times New Roman" w:cs="Times New Roman"/>
          <w:sz w:val="24"/>
          <w:szCs w:val="24"/>
          <w:lang w:val="ru-RU"/>
        </w:rPr>
      </w:pPr>
    </w:p>
    <w:p w14:paraId="53C09A1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параметры микроклимата;</w:t>
      </w:r>
    </w:p>
    <w:p w14:paraId="1EE3589E" w14:textId="77777777" w:rsidR="006E49B9" w:rsidRPr="006E49B9" w:rsidRDefault="006E49B9" w:rsidP="006E49B9">
      <w:pPr>
        <w:pStyle w:val="a5"/>
        <w:ind w:left="0"/>
        <w:jc w:val="both"/>
        <w:rPr>
          <w:rFonts w:ascii="Times New Roman" w:hAnsi="Times New Roman" w:cs="Times New Roman"/>
          <w:sz w:val="24"/>
          <w:szCs w:val="24"/>
          <w:lang w:val="ru-RU"/>
        </w:rPr>
      </w:pPr>
    </w:p>
    <w:p w14:paraId="12CB6218"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14:paraId="1F7EEB24" w14:textId="77777777" w:rsidR="006E49B9" w:rsidRPr="006E49B9" w:rsidRDefault="006E49B9" w:rsidP="006E49B9">
      <w:pPr>
        <w:pStyle w:val="a5"/>
        <w:ind w:left="0"/>
        <w:jc w:val="both"/>
        <w:rPr>
          <w:rFonts w:ascii="Times New Roman" w:hAnsi="Times New Roman" w:cs="Times New Roman"/>
          <w:sz w:val="24"/>
          <w:szCs w:val="24"/>
          <w:lang w:val="ru-RU"/>
        </w:rPr>
      </w:pPr>
    </w:p>
    <w:p w14:paraId="630F954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14:paraId="67DF80EA" w14:textId="77777777" w:rsidR="006E49B9" w:rsidRPr="006E49B9" w:rsidRDefault="006E49B9" w:rsidP="006E49B9">
      <w:pPr>
        <w:pStyle w:val="a5"/>
        <w:ind w:left="0"/>
        <w:jc w:val="both"/>
        <w:rPr>
          <w:rFonts w:ascii="Times New Roman" w:hAnsi="Times New Roman" w:cs="Times New Roman"/>
          <w:sz w:val="24"/>
          <w:szCs w:val="24"/>
          <w:lang w:val="ru-RU"/>
        </w:rPr>
      </w:pPr>
    </w:p>
    <w:p w14:paraId="046177F7" w14:textId="496E1020" w:rsid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w:t>
      </w:r>
      <w:r w:rsidRPr="006E49B9">
        <w:rPr>
          <w:rFonts w:ascii="Times New Roman" w:hAnsi="Times New Roman" w:cs="Times New Roman"/>
          <w:sz w:val="24"/>
          <w:szCs w:val="24"/>
          <w:lang w:val="ru-RU"/>
        </w:rPr>
        <w:lastRenderedPageBreak/>
        <w:t>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14:paraId="1E6D76D1" w14:textId="0737EE4A" w:rsidR="00D65936" w:rsidRDefault="00D65936" w:rsidP="00D65936">
      <w:pPr>
        <w:pStyle w:val="a5"/>
        <w:ind w:left="0"/>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D65936">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 xml:space="preserve">ом </w:t>
      </w:r>
      <w:r w:rsidRPr="00D65936">
        <w:rPr>
          <w:rFonts w:ascii="Times New Roman" w:hAnsi="Times New Roman" w:cs="Times New Roman"/>
          <w:sz w:val="24"/>
          <w:szCs w:val="24"/>
          <w:lang w:val="ru-RU"/>
        </w:rPr>
        <w:t>О ВНЕСЕНИИ ИЗМЕНЕНИЙ</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В ФЕДЕРАЛЬНЫЙ ЗАКОН "О ЗАЩИТЕ ПРАВ ЮРИДИЧЕСКИХ ЛИЦ</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И ИНДИВИДУАЛЬНЫХ ПРЕДПРИНИМАТЕЛЕЙ ПРИ ОСУЩЕСТВЛЕНИИ</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ГОСУДАРСТВЕННОГО КОНТРОЛЯ (НАДЗОРА) И МУНИЦИПАЛЬНОГО</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КОНТРОЛЯ" И СТАТЬЮ 35 ФЕДЕРАЛЬНОГО ЗАКОНА</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"О ВОДОСНАБЖЕНИИ И ВОДООТВЕДЕНИИ"</w:t>
      </w:r>
      <w:r>
        <w:rPr>
          <w:rFonts w:ascii="Times New Roman" w:hAnsi="Times New Roman" w:cs="Times New Roman"/>
          <w:sz w:val="24"/>
          <w:szCs w:val="24"/>
          <w:lang w:val="ru-RU"/>
        </w:rPr>
        <w:t xml:space="preserve">, в ФЗ </w:t>
      </w:r>
      <w:r w:rsidR="00424F86">
        <w:rPr>
          <w:rFonts w:ascii="Times New Roman" w:hAnsi="Times New Roman" w:cs="Times New Roman"/>
          <w:sz w:val="24"/>
          <w:szCs w:val="24"/>
          <w:lang w:val="ru-RU"/>
        </w:rPr>
        <w:t xml:space="preserve">№ 294-ФЗ введена статья 26.2 </w:t>
      </w:r>
      <w:r w:rsidR="00424F86" w:rsidRPr="00424F86">
        <w:rPr>
          <w:rFonts w:ascii="Times New Roman" w:hAnsi="Times New Roman" w:cs="Times New Roman"/>
          <w:sz w:val="24"/>
          <w:szCs w:val="24"/>
          <w:lang w:val="ru-RU"/>
        </w:rPr>
        <w:t>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r w:rsidR="00424F86">
        <w:rPr>
          <w:rFonts w:ascii="Times New Roman" w:hAnsi="Times New Roman" w:cs="Times New Roman"/>
          <w:sz w:val="24"/>
          <w:szCs w:val="24"/>
          <w:lang w:val="ru-RU"/>
        </w:rPr>
        <w:t>.</w:t>
      </w:r>
    </w:p>
    <w:p w14:paraId="27E07915"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14:paraId="6991E3D5"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14:paraId="1CDE597B"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14:paraId="191B7F7B"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14:paraId="4EF64336"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14:paraId="587D4AED"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5) плановых проверок, проводимых в рамках:</w:t>
      </w:r>
    </w:p>
    <w:p w14:paraId="59B05DE8"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а) федерального государственного надзора в области обеспечения радиационной безопасности;</w:t>
      </w:r>
    </w:p>
    <w:p w14:paraId="5E0F7821"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lastRenderedPageBreak/>
        <w:t>б) федерального государственного контроля за обеспечением защиты государственной тайны;</w:t>
      </w:r>
    </w:p>
    <w:p w14:paraId="12806494"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в)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14:paraId="629F4C64"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г) федерального государственного надзора в области использования атомной энергии;</w:t>
      </w:r>
    </w:p>
    <w:p w14:paraId="1442953D" w14:textId="77777777"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д) федерального государственного пробирного надзора.</w:t>
      </w:r>
    </w:p>
    <w:p w14:paraId="07BD3FEA" w14:textId="5963F0C4" w:rsid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14:paraId="574FF2A6" w14:textId="77777777" w:rsidR="00477085" w:rsidRDefault="00477085" w:rsidP="00424F86">
      <w:pPr>
        <w:pStyle w:val="a5"/>
        <w:ind w:left="0"/>
        <w:jc w:val="both"/>
        <w:rPr>
          <w:rFonts w:ascii="Times New Roman" w:hAnsi="Times New Roman" w:cs="Times New Roman"/>
          <w:sz w:val="24"/>
          <w:szCs w:val="24"/>
          <w:lang w:val="ru-RU"/>
        </w:rPr>
      </w:pPr>
    </w:p>
    <w:p w14:paraId="53BA1BD6" w14:textId="77777777" w:rsidR="006E49B9" w:rsidRPr="00D15F4A" w:rsidRDefault="006E49B9" w:rsidP="00D15F4A">
      <w:pPr>
        <w:jc w:val="center"/>
        <w:rPr>
          <w:rFonts w:ascii="Times New Roman" w:hAnsi="Times New Roman" w:cs="Times New Roman"/>
          <w:b/>
          <w:sz w:val="24"/>
          <w:szCs w:val="24"/>
          <w:lang w:val="ru-RU"/>
        </w:rPr>
      </w:pPr>
      <w:r w:rsidRPr="00D15F4A">
        <w:rPr>
          <w:rFonts w:ascii="Times New Roman" w:hAnsi="Times New Roman" w:cs="Times New Roman"/>
          <w:b/>
          <w:sz w:val="24"/>
          <w:szCs w:val="24"/>
          <w:lang w:val="ru-RU"/>
        </w:rPr>
        <w:t>ПРОФЕССИОНАЛЬНЫЕ СТАНДАРТЫ</w:t>
      </w:r>
      <w:bookmarkStart w:id="0" w:name="_GoBack"/>
      <w:bookmarkEnd w:id="0"/>
    </w:p>
    <w:p w14:paraId="25CAC41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14:paraId="6ED1C76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14:paraId="00DA94F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http://profstandart.rosmintrud.ru. </w:t>
      </w:r>
    </w:p>
    <w:p w14:paraId="5C92124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N 23. </w:t>
      </w:r>
    </w:p>
    <w:p w14:paraId="6AD36D3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14:paraId="4C11598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14:paraId="50A470C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14:paraId="4F8748E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14:paraId="1403974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14:paraId="68CEAFA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14:paraId="5C36142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14:paraId="21AFFEA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14:paraId="77C80D8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14:paraId="50BBBFD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14:paraId="4DBCA0F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иным федеральным законом является ч. 6 ст. 8 Федерального закона от 05.04.2013 N44-ФЗ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14:paraId="5877B3C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14:paraId="03383B1A"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14:paraId="1F40003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14:paraId="7554A7BA"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а) список профессиональных стандартов, подлежащих применению;</w:t>
      </w:r>
    </w:p>
    <w:p w14:paraId="4BB37D6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14:paraId="3FDFF6B2"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 этапы применения профессиональных стандартов;</w:t>
      </w:r>
    </w:p>
    <w:p w14:paraId="0E07EFA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14:paraId="6182474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14:paraId="5DF4D4DE"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14:paraId="1497285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14:paraId="05F31D0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14:paraId="5AAC2D7D"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14:paraId="1A59FFD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увольнения работников</w:t>
      </w:r>
    </w:p>
    <w:p w14:paraId="09B9608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14:paraId="27B9116E"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w:t>
      </w:r>
      <w:r w:rsidRPr="006E49B9">
        <w:rPr>
          <w:rFonts w:ascii="Times New Roman" w:hAnsi="Times New Roman" w:cs="Times New Roman"/>
          <w:sz w:val="24"/>
          <w:szCs w:val="24"/>
          <w:lang w:val="ru-RU"/>
        </w:rPr>
        <w:lastRenderedPageBreak/>
        <w:t>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14:paraId="01DE828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Вступающий в силу с 1 января 2017 года Федеральный закон от 03.07.2016 N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14:paraId="504144A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14:paraId="72F3F145" w14:textId="77777777" w:rsidR="006E49B9" w:rsidRPr="006E49B9" w:rsidRDefault="006E49B9" w:rsidP="006E49B9">
      <w:pPr>
        <w:pStyle w:val="a5"/>
        <w:ind w:left="0"/>
        <w:jc w:val="both"/>
        <w:rPr>
          <w:rFonts w:ascii="Times New Roman" w:hAnsi="Times New Roman" w:cs="Times New Roman"/>
          <w:sz w:val="24"/>
          <w:szCs w:val="24"/>
          <w:lang w:val="ru-RU"/>
        </w:rPr>
      </w:pPr>
    </w:p>
    <w:p w14:paraId="137BC7CD" w14:textId="77777777"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14:paraId="0EACADF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14:paraId="119A697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14:paraId="6BCCF5C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беременных женщин;</w:t>
      </w:r>
    </w:p>
    <w:p w14:paraId="30FE0E0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женщин, имеющих ребенка в возрасте до 3 лет;</w:t>
      </w:r>
    </w:p>
    <w:p w14:paraId="1D6C7BC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14:paraId="65D66B32"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других лиц, воспитывающих указанных детей без матери; </w:t>
      </w:r>
    </w:p>
    <w:p w14:paraId="6DDB437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14:paraId="0FB71D92"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14:paraId="7EF6238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14:paraId="43BD184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Несоответствие работника требованиям профессионального </w:t>
      </w:r>
      <w:proofErr w:type="gramStart"/>
      <w:r w:rsidRPr="006E49B9">
        <w:rPr>
          <w:rFonts w:ascii="Times New Roman" w:hAnsi="Times New Roman" w:cs="Times New Roman"/>
          <w:sz w:val="24"/>
          <w:szCs w:val="24"/>
          <w:lang w:val="ru-RU"/>
        </w:rPr>
        <w:t>стандарта  является</w:t>
      </w:r>
      <w:proofErr w:type="gramEnd"/>
      <w:r w:rsidRPr="006E49B9">
        <w:rPr>
          <w:rFonts w:ascii="Times New Roman" w:hAnsi="Times New Roman" w:cs="Times New Roman"/>
          <w:sz w:val="24"/>
          <w:szCs w:val="24"/>
          <w:lang w:val="ru-RU"/>
        </w:rPr>
        <w:t xml:space="preserve">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14:paraId="485944E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Порядок проведения аттестации некоторых категорий работников устанавливается нормативными правовыми актами, например:</w:t>
      </w:r>
    </w:p>
    <w:p w14:paraId="23B5BF2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14:paraId="0E72A4C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N151-ФЗ "Об аварийно-спасательных службах и статусе спасателей";</w:t>
      </w:r>
    </w:p>
    <w:p w14:paraId="5F27C12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w:t>
      </w:r>
      <w:r w:rsidRPr="006E49B9">
        <w:rPr>
          <w:rFonts w:ascii="Times New Roman" w:hAnsi="Times New Roman" w:cs="Times New Roman"/>
          <w:sz w:val="24"/>
          <w:szCs w:val="24"/>
          <w:lang w:val="ru-RU"/>
        </w:rPr>
        <w:tab/>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14:paraId="1328E53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14:paraId="22EEE4E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14:paraId="41D0049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14:paraId="644C5E02"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14:paraId="60BF4E1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14:paraId="2622A5C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14:paraId="1A3DFD8A"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14:paraId="5734467D"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При этом работодатель должен предложить работнику как все вакантные должности или работу, соответствующую его квалификации, так и все вакантные </w:t>
      </w:r>
      <w:proofErr w:type="gramStart"/>
      <w:r w:rsidRPr="006E49B9">
        <w:rPr>
          <w:rFonts w:ascii="Times New Roman" w:hAnsi="Times New Roman" w:cs="Times New Roman"/>
          <w:sz w:val="24"/>
          <w:szCs w:val="24"/>
          <w:lang w:val="ru-RU"/>
        </w:rPr>
        <w:t>нижестоящие  должности</w:t>
      </w:r>
      <w:proofErr w:type="gramEnd"/>
      <w:r w:rsidRPr="006E49B9">
        <w:rPr>
          <w:rFonts w:ascii="Times New Roman" w:hAnsi="Times New Roman" w:cs="Times New Roman"/>
          <w:sz w:val="24"/>
          <w:szCs w:val="24"/>
          <w:lang w:val="ru-RU"/>
        </w:rPr>
        <w:t xml:space="preserve"> или нижеоплачиваемую работу.</w:t>
      </w:r>
    </w:p>
    <w:p w14:paraId="0B80FB7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14:paraId="6E3B8D5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14:paraId="7DAB557E"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14:paraId="30FBB6D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До принятия решения о расторжении трудового договора по рассматриваемому основанию работодателю необходимо запросить: </w:t>
      </w:r>
    </w:p>
    <w:p w14:paraId="43A2178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14:paraId="3C6D12B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14:paraId="3F75038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14:paraId="0715193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14:paraId="4F758EFA"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14:paraId="6BFADC8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14:paraId="11EBA48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14:paraId="1813956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14:paraId="4257596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14:paraId="2C0D74C0" w14:textId="77777777" w:rsidR="006E49B9" w:rsidRPr="006E49B9" w:rsidRDefault="006E49B9" w:rsidP="006E49B9">
      <w:pPr>
        <w:pStyle w:val="a5"/>
        <w:ind w:left="0"/>
        <w:jc w:val="both"/>
        <w:rPr>
          <w:rFonts w:ascii="Times New Roman" w:hAnsi="Times New Roman" w:cs="Times New Roman"/>
          <w:sz w:val="24"/>
          <w:szCs w:val="24"/>
          <w:lang w:val="ru-RU"/>
        </w:rPr>
      </w:pPr>
    </w:p>
    <w:p w14:paraId="1B44A34C" w14:textId="77777777"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ОФОРМЛЕНИЕ ПРЕКРАЩЕНИЯ ТРУДОВОГО ДОГОВОРА</w:t>
      </w:r>
    </w:p>
    <w:p w14:paraId="3339614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(СТ. 84.1 ТК РФ)</w:t>
      </w:r>
    </w:p>
    <w:p w14:paraId="3B55528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14:paraId="534CFE28"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14:paraId="4BBF25F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14:paraId="7F1F471E"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14:paraId="6DF84F6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14:paraId="6A0BB01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выдать работнику трудовую книжку. </w:t>
      </w:r>
    </w:p>
    <w:p w14:paraId="5D6F0B5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14:paraId="0812F02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14:paraId="5994096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14:paraId="1F3A346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14:paraId="16F80CF0"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14:paraId="4515004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14:paraId="51B9246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14:paraId="46B721A5"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14:paraId="7A928BA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14:paraId="6305A31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14:paraId="6A4FC17D"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14:paraId="10BEC17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N 182н, и должна содержать информацию:</w:t>
      </w:r>
    </w:p>
    <w:p w14:paraId="011098AC"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14:paraId="74BDB8ED"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14:paraId="2D6C500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14:paraId="2F466878"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14:paraId="3B229438"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должен выплатить причитающиеся работнику:</w:t>
      </w:r>
    </w:p>
    <w:p w14:paraId="389CECE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заработную плату по день увольнения включительно;</w:t>
      </w:r>
    </w:p>
    <w:p w14:paraId="77393B7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14:paraId="69AB7DD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компенсацию за все неиспользованные отпуска;</w:t>
      </w:r>
    </w:p>
    <w:p w14:paraId="73070501"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14:paraId="6F57F324"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14:paraId="1C17AEFB"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14:paraId="53A0933F"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14:paraId="523DBD57"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14:paraId="25958A33"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14:paraId="74E386F6"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14:paraId="57BD93A9" w14:textId="77777777"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14:paraId="61483E8C" w14:textId="77777777" w:rsidR="00723896" w:rsidRPr="006E49B9" w:rsidRDefault="00723896" w:rsidP="006E49B9">
      <w:pPr>
        <w:pStyle w:val="a5"/>
        <w:ind w:left="0"/>
        <w:jc w:val="both"/>
        <w:rPr>
          <w:rFonts w:ascii="Times New Roman" w:hAnsi="Times New Roman" w:cs="Times New Roman"/>
          <w:sz w:val="24"/>
          <w:szCs w:val="24"/>
          <w:lang w:val="ru-RU"/>
        </w:rPr>
      </w:pPr>
    </w:p>
    <w:p w14:paraId="3388A1E2" w14:textId="2C026893" w:rsidR="00C97BA4" w:rsidRPr="006E49B9" w:rsidRDefault="00C97BA4" w:rsidP="006E49B9">
      <w:pPr>
        <w:jc w:val="both"/>
        <w:rPr>
          <w:rFonts w:ascii="Times New Roman" w:hAnsi="Times New Roman" w:cs="Times New Roman"/>
          <w:sz w:val="24"/>
          <w:szCs w:val="24"/>
          <w:lang w:val="ru-RU"/>
        </w:rPr>
      </w:pPr>
    </w:p>
    <w:p w14:paraId="216A3DD8" w14:textId="77777777" w:rsidR="00CD1981" w:rsidRPr="006E49B9" w:rsidRDefault="00CD1981" w:rsidP="00240F35">
      <w:pPr>
        <w:jc w:val="both"/>
        <w:rPr>
          <w:rFonts w:ascii="Times New Roman" w:hAnsi="Times New Roman" w:cs="Times New Roman"/>
          <w:sz w:val="24"/>
          <w:szCs w:val="24"/>
          <w:lang w:val="ru-RU"/>
        </w:rPr>
      </w:pPr>
    </w:p>
    <w:sectPr w:rsidR="00CD1981" w:rsidRPr="006E49B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A16D14"/>
    <w:multiLevelType w:val="hybridMultilevel"/>
    <w:tmpl w:val="33906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00"/>
    <w:rsid w:val="000D1C37"/>
    <w:rsid w:val="00161A8A"/>
    <w:rsid w:val="00240F35"/>
    <w:rsid w:val="00276506"/>
    <w:rsid w:val="003D137F"/>
    <w:rsid w:val="003F0A7D"/>
    <w:rsid w:val="00424F86"/>
    <w:rsid w:val="00477085"/>
    <w:rsid w:val="00536700"/>
    <w:rsid w:val="006E49B9"/>
    <w:rsid w:val="00723896"/>
    <w:rsid w:val="00753C82"/>
    <w:rsid w:val="00796943"/>
    <w:rsid w:val="00992EDE"/>
    <w:rsid w:val="00B537E1"/>
    <w:rsid w:val="00B62E26"/>
    <w:rsid w:val="00C722F7"/>
    <w:rsid w:val="00C97BA4"/>
    <w:rsid w:val="00CD1981"/>
    <w:rsid w:val="00D15F4A"/>
    <w:rsid w:val="00D205C5"/>
    <w:rsid w:val="00D65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B1BD"/>
  <w15:chartTrackingRefBased/>
  <w15:docId w15:val="{AE07671F-C42C-4F9E-8799-A3E7799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 w:type="paragraph" w:styleId="a5">
    <w:name w:val="List Paragraph"/>
    <w:basedOn w:val="a"/>
    <w:uiPriority w:val="34"/>
    <w:qFormat/>
    <w:rsid w:val="00C97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E42A708C70C0FD7E101CE5E7B51FA54D212BA415FAAAE6C57D0A3449895876F02BB21883E436DC88C39A7A18C97913D38F9D52E8CF1DN" TargetMode="External"/><Relationship Id="rId3" Type="http://schemas.openxmlformats.org/officeDocument/2006/relationships/settings" Target="settings.xml"/><Relationship Id="rId7" Type="http://schemas.openxmlformats.org/officeDocument/2006/relationships/hyperlink" Target="consultantplus://offline/ref=B0E42A708C70C0FD7E101CE5E7B51FA54D212BA415FAAAE6C57D0A3449895876F02BB21882ED36DC88C39A7A18C97913D38F9D52E8CF1D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0E42A708C70C0FD7E101CE5E7B51FA54D212BA415FAAAE6C57D0A3449895876F02BB21883E436DC88C39A7A18C97913D38F9D52E8CF1DN" TargetMode="External"/><Relationship Id="rId11" Type="http://schemas.openxmlformats.org/officeDocument/2006/relationships/theme" Target="theme/theme1.xml"/><Relationship Id="rId5" Type="http://schemas.openxmlformats.org/officeDocument/2006/relationships/hyperlink" Target="consultantplus://offline/ref=B0E42A708C70C0FD7E101CE5E7B51FA54D212BA415FAAAE6C57D0A3449895876F02BB21883EB36DC88C39A7A18C97913D38F9D52E8CF1D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0E42A708C70C0FD7E101CE5E7B51FA54D212BA415FAAAE6C57D0A3449895876F02BB21882ED36DC88C39A7A18C97913D38F9D52E8CF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7624</Words>
  <Characters>43457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13</cp:revision>
  <cp:lastPrinted>2019-01-17T15:07:00Z</cp:lastPrinted>
  <dcterms:created xsi:type="dcterms:W3CDTF">2018-01-13T13:35:00Z</dcterms:created>
  <dcterms:modified xsi:type="dcterms:W3CDTF">2019-01-18T05:52:00Z</dcterms:modified>
</cp:coreProperties>
</file>